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93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DE7793" w:rsidRPr="00E4511A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DE7793" w:rsidRPr="003912CE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46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3912CE" w:rsidRPr="003912CE">
        <w:rPr>
          <w:rFonts w:ascii="Times New Roman" w:hAnsi="Times New Roman" w:cs="Times New Roman"/>
          <w:bCs/>
          <w:i/>
          <w:sz w:val="24"/>
          <w:szCs w:val="24"/>
        </w:rPr>
        <w:t>Promovarea adaptării la schimbările climatice, a prevenirii şi a gestionării riscurilor</w:t>
      </w:r>
    </w:p>
    <w:p w:rsidR="003912CE" w:rsidRPr="003912CE" w:rsidRDefault="003912CE" w:rsidP="003912CE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Obiectivul Specific (OS)  5</w:t>
      </w:r>
      <w:r w:rsidR="00DE7793" w:rsidRPr="00E4511A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DE7793"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3912CE">
        <w:rPr>
          <w:rFonts w:ascii="Times New Roman" w:hAnsi="Times New Roman" w:cs="Times New Roman"/>
          <w:bCs/>
          <w:i/>
          <w:sz w:val="24"/>
          <w:szCs w:val="24"/>
        </w:rPr>
        <w:t>Reducerea efectelor şi a pagubelor asupra populaţiei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912CE">
        <w:rPr>
          <w:rFonts w:ascii="Times New Roman" w:hAnsi="Times New Roman" w:cs="Times New Roman"/>
          <w:bCs/>
          <w:i/>
          <w:sz w:val="24"/>
          <w:szCs w:val="24"/>
        </w:rPr>
        <w:t>cauzate de fenomenele naturale asociate principalelor riscuri accentuate de schimbările climatice, în principal de inundaţii şi eroziune costieră</w:t>
      </w:r>
    </w:p>
    <w:p w:rsidR="00DE7793" w:rsidRPr="0023753C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30258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Încadrarea proiectului în acțiunea/acțiunile finanțabile în cadrul OS </w:t>
      </w:r>
      <w:r w:rsidR="0008370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.1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DE7793" w:rsidRPr="003B713B" w:rsidTr="002F664A">
        <w:tc>
          <w:tcPr>
            <w:tcW w:w="8613" w:type="dxa"/>
            <w:vAlign w:val="center"/>
          </w:tcPr>
          <w:p w:rsidR="00DE7793" w:rsidRPr="002F664A" w:rsidRDefault="002F664A" w:rsidP="00BD1B1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</w:pPr>
            <w:r w:rsidRPr="002F664A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>Acțiuni</w:t>
            </w:r>
            <w:r w:rsidR="00BD1B19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 xml:space="preserve"> pentru prevenirea inundațiilor</w:t>
            </w:r>
          </w:p>
        </w:tc>
        <w:tc>
          <w:tcPr>
            <w:tcW w:w="993" w:type="dxa"/>
          </w:tcPr>
          <w:p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  <w:lang w:val="en-US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Utilizarea infrastructurii verzi pentru prevenirea inundaţiilor prin preluarea soluțiilor oferite de ecosisteme naturale pentru gestionarea riscurilor generate de creșterea incidenței evenimentelor extreme 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Dezvoltarea de studii, metodologii, evaluări, rapoarte, manuale de bună practică pentru managementul barajelor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Abordare intersectorială la nivel de bazin hidrografic (dezvoltare coordonată şi management integrat al activităţilor privind apa, terenurile şi resursele)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Modernizarea infrastructurii de monitorizare şi avertizare a fenomenelor hidro-meteorologice severe în vederea asigurării protecţiei vieţii şi a bunurilor materiale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Măsuri care asigură eficacitatea intervențiilor de prevenire a inundațiilor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Realizarea de măsuri structurale de protecţie împotriva riscului la inundaţii, acolo unde infrastructura verde nu este suficientă, prin construirea ori reabilitarea infrastructurii de reducere a impactului unor fenomene meteorologice extreme.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Alte tipuri de acţiuni specifice gestiunii riscului la inundaţii, conform celor prevăzute în Strategia Naţională de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Management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al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Riscului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la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Inundaţii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pe termen lung mediu şi lung sau în planurile de management al riscului la inundaţii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F664A" w:rsidRDefault="002F664A" w:rsidP="002F664A">
            <w:pPr>
              <w:widowControl w:val="0"/>
              <w:overflowPunct w:val="0"/>
              <w:autoSpaceDE w:val="0"/>
              <w:autoSpaceDN w:val="0"/>
              <w:adjustRightInd w:val="0"/>
              <w:ind w:left="360" w:right="2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6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B. Pentru prevenirea eroziunii costiere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Acţiuni specifice de limitare a efectelor negative ale eroziunii costiere asupra plajelor, şi activităţi de reabilitarea şi protecţia plajelor 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6E8D" w:rsidRPr="003B713B" w:rsidTr="009715A6">
        <w:tc>
          <w:tcPr>
            <w:tcW w:w="8613" w:type="dxa"/>
          </w:tcPr>
          <w:p w:rsidR="00F46E8D" w:rsidRPr="00F46E8D" w:rsidRDefault="00F46E8D" w:rsidP="00F46E8D">
            <w:pPr>
              <w:widowControl w:val="0"/>
              <w:overflowPunct w:val="0"/>
              <w:autoSpaceDE w:val="0"/>
              <w:autoSpaceDN w:val="0"/>
              <w:adjustRightInd w:val="0"/>
              <w:ind w:left="360" w:right="2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6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C.</w:t>
            </w:r>
            <w:r w:rsidRPr="00F46E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Măsuri de prevenire şi protecţie împotriva altor riscuri</w:t>
            </w:r>
          </w:p>
        </w:tc>
        <w:tc>
          <w:tcPr>
            <w:tcW w:w="993" w:type="dxa"/>
          </w:tcPr>
          <w:p w:rsidR="00F46E8D" w:rsidRPr="003B713B" w:rsidRDefault="00F46E8D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6E8D" w:rsidRPr="003B713B" w:rsidTr="009715A6">
        <w:tc>
          <w:tcPr>
            <w:tcW w:w="8613" w:type="dxa"/>
          </w:tcPr>
          <w:p w:rsidR="00F46E8D" w:rsidRPr="00F46E8D" w:rsidRDefault="00F46E8D" w:rsidP="00F46E8D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46E8D">
              <w:rPr>
                <w:rFonts w:ascii="Times New Roman" w:hAnsi="Times New Roman"/>
                <w:color w:val="231F20"/>
                <w:sz w:val="24"/>
                <w:szCs w:val="24"/>
              </w:rPr>
              <w:t>Măsuri de promovare a infrastructurii verzi specifice riscurilor identificate prin evaluarea națională și/sau prin planul de acțiune de adaptare la schimbări climatice</w:t>
            </w:r>
          </w:p>
        </w:tc>
        <w:tc>
          <w:tcPr>
            <w:tcW w:w="993" w:type="dxa"/>
          </w:tcPr>
          <w:p w:rsidR="00F46E8D" w:rsidRPr="003B713B" w:rsidRDefault="00F46E8D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6E8D" w:rsidRPr="003B713B" w:rsidTr="00F46E8D">
        <w:trPr>
          <w:trHeight w:val="980"/>
        </w:trPr>
        <w:tc>
          <w:tcPr>
            <w:tcW w:w="8613" w:type="dxa"/>
          </w:tcPr>
          <w:p w:rsidR="00F46E8D" w:rsidRPr="00F46E8D" w:rsidRDefault="00F46E8D" w:rsidP="00F46E8D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46E8D">
              <w:rPr>
                <w:rFonts w:ascii="Times New Roman" w:hAnsi="Times New Roman"/>
                <w:color w:val="231F20"/>
                <w:sz w:val="24"/>
                <w:szCs w:val="24"/>
              </w:rPr>
              <w:t>Dezvoltarea de strategii, metodologii, planuri, proceduri, manuale de bună practică pentru managementul riscurilor identificate pe baza evaluării naţionale, cu excepția riscului la inundații</w:t>
            </w:r>
          </w:p>
        </w:tc>
        <w:tc>
          <w:tcPr>
            <w:tcW w:w="993" w:type="dxa"/>
          </w:tcPr>
          <w:p w:rsidR="00F46E8D" w:rsidRPr="003B713B" w:rsidRDefault="00F46E8D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A se preciza tipul de </w:t>
      </w:r>
      <w:r>
        <w:rPr>
          <w:rFonts w:ascii="Times New Roman" w:hAnsi="Times New Roman" w:cs="Times New Roman"/>
          <w:bCs/>
          <w:i/>
          <w:sz w:val="24"/>
          <w:szCs w:val="24"/>
        </w:rPr>
        <w:t>solicitant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eligibil</w:t>
      </w:r>
      <w:r>
        <w:rPr>
          <w:rFonts w:ascii="Times New Roman" w:hAnsi="Times New Roman" w:cs="Times New Roman"/>
          <w:bCs/>
          <w:i/>
          <w:sz w:val="24"/>
          <w:szCs w:val="24"/>
        </w:rPr>
        <w:t>, inclsuiv partenerii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, categoriile de acțiuni finanțabile 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conform celor precizate în Ghidul Solicitantului)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Titlul și obiectivul/obiectivele proiectului</w:t>
      </w:r>
      <w:r w:rsidR="004C1CAA">
        <w:rPr>
          <w:rFonts w:ascii="Times New Roman" w:hAnsi="Times New Roman" w:cs="Times New Roman"/>
          <w:b/>
          <w:sz w:val="24"/>
          <w:szCs w:val="24"/>
        </w:rPr>
        <w:t xml:space="preserve"> și corelarea cu rezultatul OS 5</w:t>
      </w:r>
      <w:r>
        <w:rPr>
          <w:rFonts w:ascii="Times New Roman" w:hAnsi="Times New Roman" w:cs="Times New Roman"/>
          <w:b/>
          <w:sz w:val="24"/>
          <w:szCs w:val="24"/>
        </w:rPr>
        <w:t>.1.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7D791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4C1CAA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Investițiile </w:t>
      </w:r>
      <w:r w:rsidR="00DE7793" w:rsidRPr="00E4511A">
        <w:rPr>
          <w:rFonts w:ascii="Times New Roman" w:hAnsi="Times New Roman" w:cs="Times New Roman"/>
          <w:b/>
          <w:sz w:val="24"/>
          <w:szCs w:val="24"/>
        </w:rPr>
        <w:t>vizate prin proiect</w:t>
      </w: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</w:t>
      </w:r>
      <w:r w:rsidR="003C6265">
        <w:rPr>
          <w:rFonts w:ascii="Times New Roman" w:hAnsi="Times New Roman" w:cs="Times New Roman"/>
          <w:b/>
          <w:sz w:val="24"/>
          <w:szCs w:val="24"/>
        </w:rPr>
        <w:t xml:space="preserve">ierea activității/activităților </w:t>
      </w:r>
      <w:r w:rsidRPr="00E4511A">
        <w:rPr>
          <w:rFonts w:ascii="Times New Roman" w:hAnsi="Times New Roman" w:cs="Times New Roman"/>
          <w:b/>
          <w:sz w:val="24"/>
          <w:szCs w:val="24"/>
        </w:rPr>
        <w:t>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793" w:rsidRPr="00366B61" w:rsidRDefault="00DE7793" w:rsidP="00DE7793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așteptate</w:t>
      </w: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și de rezultat aferenți POIM 2014-2020 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>
        <w:rPr>
          <w:rFonts w:ascii="Times New Roman" w:hAnsi="Times New Roman" w:cs="Times New Roman"/>
          <w:i/>
          <w:sz w:val="24"/>
          <w:szCs w:val="24"/>
        </w:rPr>
        <w:t>bifa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menționate mai sus</w:t>
      </w:r>
      <w:r>
        <w:rPr>
          <w:rFonts w:ascii="Times New Roman" w:hAnsi="Times New Roman" w:cs="Times New Roman"/>
          <w:i/>
          <w:sz w:val="24"/>
          <w:szCs w:val="24"/>
        </w:rPr>
        <w:t>, precum și alți indicatori similari idetnficiați în ghidul solicitantului sau propuși de către solicitant</w:t>
      </w:r>
      <w:r w:rsidRPr="00E4511A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6629"/>
        <w:gridCol w:w="992"/>
        <w:gridCol w:w="1985"/>
      </w:tblGrid>
      <w:tr w:rsidR="00DE7793" w:rsidRPr="003B713B" w:rsidTr="00EB0228">
        <w:trPr>
          <w:tblHeader/>
        </w:trPr>
        <w:tc>
          <w:tcPr>
            <w:tcW w:w="6629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lastRenderedPageBreak/>
              <w:t>Indicator</w:t>
            </w:r>
          </w:p>
        </w:tc>
        <w:tc>
          <w:tcPr>
            <w:tcW w:w="992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Unitate de măsură</w:t>
            </w:r>
          </w:p>
        </w:tc>
        <w:tc>
          <w:tcPr>
            <w:tcW w:w="1985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Indicatorul/ii rezultat prin proiectul propus</w:t>
            </w:r>
          </w:p>
        </w:tc>
      </w:tr>
      <w:tr w:rsidR="004C1CAA" w:rsidRPr="003B713B" w:rsidTr="004C1CAA">
        <w:trPr>
          <w:trHeight w:val="305"/>
        </w:trPr>
        <w:tc>
          <w:tcPr>
            <w:tcW w:w="9606" w:type="dxa"/>
            <w:gridSpan w:val="3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1430C5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Indicatori de rezultat</w:t>
            </w:r>
          </w:p>
        </w:tc>
      </w:tr>
      <w:tr w:rsidR="00DE7793" w:rsidRPr="003B713B" w:rsidTr="0015143D">
        <w:tc>
          <w:tcPr>
            <w:tcW w:w="6629" w:type="dxa"/>
            <w:vAlign w:val="center"/>
          </w:tcPr>
          <w:p w:rsidR="00DE7793" w:rsidRPr="003B713B" w:rsidDel="00047B29" w:rsidRDefault="004C1CAA" w:rsidP="00151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Daune economice medii anuale produse de evenimentele hidrologice</w:t>
            </w:r>
            <w:r w:rsidR="007465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 xml:space="preserve"> </w:t>
            </w: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adverse (vizate de program)</w:t>
            </w:r>
          </w:p>
        </w:tc>
        <w:tc>
          <w:tcPr>
            <w:tcW w:w="992" w:type="dxa"/>
            <w:vAlign w:val="center"/>
          </w:tcPr>
          <w:p w:rsidR="00DE7793" w:rsidRPr="003B713B" w:rsidDel="00047B29" w:rsidRDefault="00362D99" w:rsidP="0015143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m</w:t>
            </w:r>
            <w:r w:rsidR="004C1CAA" w:rsidRPr="001430C5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il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. euro/</w:t>
            </w:r>
            <w:r w:rsidR="004C1CAA" w:rsidRPr="001430C5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an</w:t>
            </w:r>
          </w:p>
        </w:tc>
        <w:tc>
          <w:tcPr>
            <w:tcW w:w="1985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362D99" w:rsidRPr="003B713B" w:rsidTr="0015143D">
        <w:tc>
          <w:tcPr>
            <w:tcW w:w="6629" w:type="dxa"/>
            <w:vAlign w:val="center"/>
          </w:tcPr>
          <w:p w:rsidR="00362D99" w:rsidRPr="001430C5" w:rsidRDefault="00362D99" w:rsidP="00151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62D99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Riscuri pentru care sunt promovate măsuri de prevenire și pregătire</w:t>
            </w:r>
          </w:p>
        </w:tc>
        <w:tc>
          <w:tcPr>
            <w:tcW w:w="992" w:type="dxa"/>
            <w:vAlign w:val="center"/>
          </w:tcPr>
          <w:p w:rsidR="00362D99" w:rsidRPr="001430C5" w:rsidRDefault="00362D99" w:rsidP="0015143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362D99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nr.</w:t>
            </w:r>
          </w:p>
        </w:tc>
        <w:tc>
          <w:tcPr>
            <w:tcW w:w="1985" w:type="dxa"/>
          </w:tcPr>
          <w:p w:rsidR="00362D99" w:rsidRPr="003B713B" w:rsidRDefault="00362D99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4C1CAA" w:rsidRPr="003B713B" w:rsidTr="004C1CAA">
        <w:trPr>
          <w:trHeight w:val="287"/>
        </w:trPr>
        <w:tc>
          <w:tcPr>
            <w:tcW w:w="9606" w:type="dxa"/>
            <w:gridSpan w:val="3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Indicatori de realizare imediată</w:t>
            </w:r>
          </w:p>
        </w:tc>
      </w:tr>
      <w:tr w:rsidR="004C1CAA" w:rsidRPr="003B713B" w:rsidTr="0015143D">
        <w:tc>
          <w:tcPr>
            <w:tcW w:w="6629" w:type="dxa"/>
            <w:vAlign w:val="center"/>
          </w:tcPr>
          <w:p w:rsidR="004C1CAA" w:rsidRPr="001430C5" w:rsidDel="00047B29" w:rsidRDefault="004C1CAA" w:rsidP="0015143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Prevenirea și gestionarea riscurilor: Populație care beneficiază de măsuri de protecție împotriva inundațiilor</w:t>
            </w:r>
          </w:p>
        </w:tc>
        <w:tc>
          <w:tcPr>
            <w:tcW w:w="992" w:type="dxa"/>
            <w:vAlign w:val="center"/>
          </w:tcPr>
          <w:p w:rsidR="004C1CAA" w:rsidRPr="001430C5" w:rsidDel="00047B29" w:rsidRDefault="004C1CAA" w:rsidP="001514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persoane</w:t>
            </w:r>
          </w:p>
        </w:tc>
        <w:tc>
          <w:tcPr>
            <w:tcW w:w="1985" w:type="dxa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CAA" w:rsidRPr="003B713B" w:rsidTr="0015143D">
        <w:tc>
          <w:tcPr>
            <w:tcW w:w="6629" w:type="dxa"/>
            <w:vAlign w:val="center"/>
          </w:tcPr>
          <w:p w:rsidR="004C1CAA" w:rsidRPr="001430C5" w:rsidRDefault="004C1CAA" w:rsidP="001514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Lungime de plajă și/sau faleză protejată</w:t>
            </w:r>
          </w:p>
        </w:tc>
        <w:tc>
          <w:tcPr>
            <w:tcW w:w="992" w:type="dxa"/>
            <w:vAlign w:val="center"/>
          </w:tcPr>
          <w:p w:rsidR="004C1CAA" w:rsidRPr="001430C5" w:rsidRDefault="004C1CAA" w:rsidP="0015143D">
            <w:pPr>
              <w:widowControl w:val="0"/>
              <w:autoSpaceDE w:val="0"/>
              <w:autoSpaceDN w:val="0"/>
              <w:adjustRightInd w:val="0"/>
              <w:ind w:lef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km</w:t>
            </w:r>
          </w:p>
        </w:tc>
        <w:tc>
          <w:tcPr>
            <w:tcW w:w="1985" w:type="dxa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>valoarea totală estimată și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9B2" w:rsidRDefault="00F479B2" w:rsidP="00DE7793">
      <w:pPr>
        <w:spacing w:after="0" w:line="240" w:lineRule="auto"/>
      </w:pPr>
      <w:r>
        <w:separator/>
      </w:r>
    </w:p>
  </w:endnote>
  <w:endnote w:type="continuationSeparator" w:id="0">
    <w:p w:rsidR="00F479B2" w:rsidRDefault="00F479B2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9B2" w:rsidRDefault="00F479B2" w:rsidP="00DE7793">
      <w:pPr>
        <w:spacing w:after="0" w:line="240" w:lineRule="auto"/>
      </w:pPr>
      <w:r>
        <w:separator/>
      </w:r>
    </w:p>
  </w:footnote>
  <w:footnote w:type="continuationSeparator" w:id="0">
    <w:p w:rsidR="00F479B2" w:rsidRDefault="00F479B2" w:rsidP="00DE7793">
      <w:pPr>
        <w:spacing w:after="0" w:line="240" w:lineRule="auto"/>
      </w:pPr>
      <w:r>
        <w:continuationSeparator/>
      </w:r>
    </w:p>
  </w:footnote>
  <w:footnote w:id="1">
    <w:p w:rsidR="00DE7793" w:rsidRDefault="00DE7793" w:rsidP="00DE779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B713B">
        <w:rPr>
          <w:rFonts w:ascii="Times New Roman" w:hAnsi="Times New Roman" w:cs="Times New Roman"/>
        </w:rPr>
        <w:t>Această fișă de proiect nu constituie o cerere de finanțare și nu va face obiectul unei evaluări pe baza criteriilor de selecție.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F479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4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793" w:rsidRPr="00FC7987" w:rsidRDefault="0084790C" w:rsidP="00FC7987">
    <w:pPr>
      <w:pStyle w:val="Header"/>
      <w:pBdr>
        <w:bottom w:val="single" w:sz="4" w:space="0" w:color="5B9BD5" w:themeColor="accent1"/>
      </w:pBdr>
      <w:tabs>
        <w:tab w:val="clear" w:pos="4680"/>
        <w:tab w:val="clear" w:pos="9360"/>
        <w:tab w:val="left" w:pos="1189"/>
      </w:tabs>
      <w:spacing w:after="360"/>
      <w:contextualSpacing/>
      <w:rPr>
        <w:b/>
      </w:rPr>
    </w:pPr>
    <w:r w:rsidRPr="00FC7987">
      <w:rPr>
        <w:b/>
      </w:rPr>
      <w:t xml:space="preserve">POIM 2014-2020                                                                </w:t>
    </w:r>
    <w:r w:rsidR="007A7032">
      <w:rPr>
        <w:b/>
      </w:rPr>
      <w:t xml:space="preserve">                       </w:t>
    </w:r>
    <w:r w:rsidRPr="00FC7987">
      <w:rPr>
        <w:b/>
      </w:rPr>
      <w:t>Anexa 1</w:t>
    </w:r>
    <w:r w:rsidR="007A7032">
      <w:rPr>
        <w:b/>
      </w:rPr>
      <w:t>.b</w:t>
    </w:r>
    <w:r w:rsidRPr="00FC7987">
      <w:rPr>
        <w:b/>
      </w:rPr>
      <w:t xml:space="preserve"> Ghidul Solicitantului_OS 5.1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F479B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3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904BF"/>
    <w:multiLevelType w:val="hybridMultilevel"/>
    <w:tmpl w:val="7EC6D4BA"/>
    <w:lvl w:ilvl="0" w:tplc="F4AC1CFC">
      <w:start w:val="1"/>
      <w:numFmt w:val="decimal"/>
      <w:lvlText w:val="A.%1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C3B7E"/>
    <w:multiLevelType w:val="hybridMultilevel"/>
    <w:tmpl w:val="F1141E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4018E"/>
    <w:multiLevelType w:val="hybridMultilevel"/>
    <w:tmpl w:val="A88234D2"/>
    <w:lvl w:ilvl="0" w:tplc="C1903188">
      <w:start w:val="1"/>
      <w:numFmt w:val="decimal"/>
      <w:lvlText w:val="B.%1"/>
      <w:lvlJc w:val="left"/>
      <w:pPr>
        <w:ind w:left="757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1416"/>
    <w:multiLevelType w:val="hybridMultilevel"/>
    <w:tmpl w:val="8EBEAD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580D04"/>
    <w:multiLevelType w:val="hybridMultilevel"/>
    <w:tmpl w:val="46D8267E"/>
    <w:lvl w:ilvl="0" w:tplc="F4AC1CFC">
      <w:start w:val="1"/>
      <w:numFmt w:val="decimal"/>
      <w:lvlText w:val="A.%1"/>
      <w:lvlJc w:val="left"/>
      <w:pPr>
        <w:ind w:left="54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93"/>
    <w:rsid w:val="00033178"/>
    <w:rsid w:val="0008370B"/>
    <w:rsid w:val="000C097A"/>
    <w:rsid w:val="000F5920"/>
    <w:rsid w:val="00105B4D"/>
    <w:rsid w:val="0013653E"/>
    <w:rsid w:val="0015143D"/>
    <w:rsid w:val="0020199D"/>
    <w:rsid w:val="00211BDD"/>
    <w:rsid w:val="002A0084"/>
    <w:rsid w:val="002B460A"/>
    <w:rsid w:val="002F664A"/>
    <w:rsid w:val="00301B04"/>
    <w:rsid w:val="00331601"/>
    <w:rsid w:val="00361B43"/>
    <w:rsid w:val="00362D99"/>
    <w:rsid w:val="003912CE"/>
    <w:rsid w:val="003C6265"/>
    <w:rsid w:val="004361DA"/>
    <w:rsid w:val="00491014"/>
    <w:rsid w:val="004C1CAA"/>
    <w:rsid w:val="0052228E"/>
    <w:rsid w:val="005E5EE8"/>
    <w:rsid w:val="006B6137"/>
    <w:rsid w:val="00730258"/>
    <w:rsid w:val="007465DF"/>
    <w:rsid w:val="007A7032"/>
    <w:rsid w:val="007D7911"/>
    <w:rsid w:val="0084790C"/>
    <w:rsid w:val="009715A6"/>
    <w:rsid w:val="009C5F0A"/>
    <w:rsid w:val="00A127A0"/>
    <w:rsid w:val="00A2451E"/>
    <w:rsid w:val="00A76D77"/>
    <w:rsid w:val="00BD1B19"/>
    <w:rsid w:val="00BF2718"/>
    <w:rsid w:val="00D43251"/>
    <w:rsid w:val="00D53DCF"/>
    <w:rsid w:val="00DE7793"/>
    <w:rsid w:val="00EB0228"/>
    <w:rsid w:val="00F46E8D"/>
    <w:rsid w:val="00F479B2"/>
    <w:rsid w:val="00FC7987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E9DD4001-0D67-419E-911F-B2297581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987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Miruna Postaru</cp:lastModifiedBy>
  <cp:revision>17</cp:revision>
  <dcterms:created xsi:type="dcterms:W3CDTF">2015-10-30T14:01:00Z</dcterms:created>
  <dcterms:modified xsi:type="dcterms:W3CDTF">2018-11-19T12:49:00Z</dcterms:modified>
</cp:coreProperties>
</file>